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E6FB5">
      <w:pPr>
        <w:tabs>
          <w:tab w:val="left" w:pos="2146"/>
        </w:tabs>
        <w:spacing w:after="312" w:afterLines="100" w:line="560" w:lineRule="exact"/>
        <w:jc w:val="center"/>
        <w:rPr>
          <w:rFonts w:hint="eastAsia" w:ascii="黑体" w:hAnsi="黑体" w:eastAsia="黑体" w:cs="黑体"/>
          <w:sz w:val="44"/>
          <w:szCs w:val="44"/>
        </w:rPr>
      </w:pPr>
      <w:r>
        <w:rPr>
          <w:rFonts w:hint="eastAsia" w:ascii="黑体" w:hAnsi="黑体" w:eastAsia="黑体" w:cs="黑体"/>
          <w:sz w:val="44"/>
          <w:szCs w:val="44"/>
        </w:rPr>
        <w:t>2025年高校内部审计难点热点问题大家谈</w:t>
      </w:r>
    </w:p>
    <w:p w14:paraId="2EE92814">
      <w:pPr>
        <w:spacing w:after="312" w:afterLines="100" w:line="560" w:lineRule="exact"/>
        <w:jc w:val="center"/>
        <w:rPr>
          <w:rFonts w:ascii="方正小标宋简体" w:hAnsi="方正小标宋-简" w:eastAsia="方正小标宋简体" w:cs="方正小标宋-简"/>
          <w:sz w:val="32"/>
          <w:szCs w:val="32"/>
        </w:rPr>
      </w:pPr>
    </w:p>
    <w:p w14:paraId="78E00119">
      <w:pPr>
        <w:tabs>
          <w:tab w:val="left" w:pos="2146"/>
        </w:tabs>
        <w:spacing w:after="312" w:afterLines="100" w:line="560" w:lineRule="exact"/>
        <w:rPr>
          <w:rFonts w:ascii="方正小标宋简体" w:hAnsi="方正小标宋-简" w:eastAsia="楷体" w:cs="方正小标宋-简"/>
          <w:b/>
          <w:sz w:val="36"/>
          <w:szCs w:val="32"/>
        </w:rPr>
      </w:pPr>
      <w:r>
        <w:rPr>
          <w:rFonts w:hint="eastAsia" w:ascii="方正小标宋简体" w:hAnsi="方正小标宋-简" w:eastAsia="楷体" w:cs="方正小标宋-简"/>
          <w:b/>
          <w:sz w:val="36"/>
          <w:szCs w:val="32"/>
        </w:rPr>
        <w:t>编者按：</w:t>
      </w:r>
      <w:r>
        <w:rPr>
          <w:rFonts w:hint="eastAsia" w:ascii="方正小标宋简体" w:hAnsi="方正小标宋-简" w:eastAsia="楷体" w:cs="方正小标宋-简"/>
          <w:b/>
          <w:sz w:val="36"/>
          <w:szCs w:val="32"/>
        </w:rPr>
        <w:tab/>
      </w:r>
    </w:p>
    <w:p w14:paraId="3FE5208F">
      <w:pPr>
        <w:tabs>
          <w:tab w:val="left" w:pos="2146"/>
        </w:tabs>
        <w:spacing w:after="312" w:afterLines="100" w:line="560" w:lineRule="exact"/>
        <w:ind w:firstLine="640" w:firstLineChars="200"/>
        <w:rPr>
          <w:rFonts w:hint="eastAsia" w:ascii="仿宋_GB2312" w:hAnsi="仿宋_GB2312" w:eastAsia="华文新魏" w:cs="仿宋_GB2312"/>
          <w:sz w:val="32"/>
          <w:szCs w:val="32"/>
        </w:rPr>
      </w:pPr>
      <w:r>
        <w:rPr>
          <w:rFonts w:hint="eastAsia" w:ascii="方正小标宋简体" w:hAnsi="方正小标宋-简" w:eastAsia="华文新魏" w:cs="方正小标宋-简"/>
          <w:sz w:val="32"/>
          <w:szCs w:val="32"/>
        </w:rPr>
        <w:t>今年8月6日至8月7日，山东省教育审计学会在日照市举办了“2025年高校内部审计难点热点问题大家谈”活动，邀请山东财经大学张志红教授和山东师范大学审计处处长</w:t>
      </w:r>
      <w:r>
        <w:rPr>
          <w:rFonts w:hint="eastAsia" w:ascii="方正小标宋简体" w:hAnsi="方正小标宋-简" w:eastAsia="华文新魏" w:cs="方正小标宋-简"/>
          <w:sz w:val="32"/>
          <w:szCs w:val="32"/>
          <w:lang w:val="en-US" w:eastAsia="zh-CN"/>
        </w:rPr>
        <w:t>毕鹍</w:t>
      </w:r>
      <w:r>
        <w:rPr>
          <w:rFonts w:hint="eastAsia" w:ascii="方正小标宋简体" w:hAnsi="方正小标宋-简" w:eastAsia="华文新魏" w:cs="方正小标宋-简"/>
          <w:sz w:val="32"/>
          <w:szCs w:val="32"/>
        </w:rPr>
        <w:t>就“</w:t>
      </w:r>
      <w:r>
        <w:rPr>
          <w:rFonts w:hint="eastAsia" w:ascii="仿宋_GB2312" w:hAnsi="仿宋_GB2312" w:eastAsia="华文新魏" w:cs="仿宋_GB2312"/>
          <w:sz w:val="32"/>
          <w:szCs w:val="32"/>
        </w:rPr>
        <w:t>新形势下高校招标采购审计实务”和“行政事业单位预算绩效评价”作了专题报告，并就相关问题接受了参加活动代表的提问咨询，给出了具有权威性的分析和解答。活动结束后，学会咨询服务部对大家谈活动提出的问题和专家答疑意见进行了系统整理和文字完善，经征得专家同意后，现以“专家</w:t>
      </w:r>
      <w:r>
        <w:rPr>
          <w:rFonts w:hint="eastAsia" w:ascii="仿宋_GB2312" w:hAnsi="仿宋_GB2312" w:eastAsia="华文新魏" w:cs="仿宋_GB2312"/>
          <w:sz w:val="32"/>
          <w:szCs w:val="32"/>
          <w:lang w:val="en-US" w:eastAsia="zh-CN"/>
        </w:rPr>
        <w:t>答疑</w:t>
      </w:r>
      <w:r>
        <w:rPr>
          <w:rFonts w:hint="eastAsia" w:ascii="仿宋_GB2312" w:hAnsi="仿宋_GB2312" w:eastAsia="华文新魏" w:cs="仿宋_GB2312"/>
          <w:sz w:val="32"/>
          <w:szCs w:val="32"/>
        </w:rPr>
        <w:t>”栏目的形式推出，以供全省高校审计部门和广大审计人员结合国家政策规定学习参考。</w:t>
      </w:r>
      <w:bookmarkStart w:id="0" w:name="_GoBack"/>
      <w:bookmarkEnd w:id="0"/>
    </w:p>
    <w:p w14:paraId="049EC9B5">
      <w:pPr>
        <w:tabs>
          <w:tab w:val="left" w:pos="2146"/>
        </w:tabs>
        <w:spacing w:after="312" w:afterLines="100" w:line="560" w:lineRule="exact"/>
        <w:ind w:firstLine="640" w:firstLineChars="200"/>
        <w:rPr>
          <w:rFonts w:hint="eastAsia" w:ascii="仿宋_GB2312" w:hAnsi="仿宋_GB2312" w:eastAsia="华文新魏" w:cs="仿宋_GB2312"/>
          <w:sz w:val="32"/>
          <w:szCs w:val="32"/>
        </w:rPr>
      </w:pPr>
    </w:p>
    <w:p w14:paraId="056653B3">
      <w:pPr>
        <w:spacing w:line="560" w:lineRule="exact"/>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 xml:space="preserve">一、怎么识别或评判招标过程中的恶意低价和不合理低价？审查主体是什么，如何结果认定和运用？ </w:t>
      </w:r>
    </w:p>
    <w:p w14:paraId="0596671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在政府采购活动中，异常低价投标（响应）行为屡禁不止，不仅破坏了公共采购秩序、降低采购效果，而且还损害了政府治理形象，需要坚决有效遏制。财政部印发的《关于在相关自由贸易试验区和自由贸易港开展推动解决政府采购异常低价问题试点工作的通知》财办库〔2024〕265号为解决异常低价投标（响应）问题提供了新的指引和参考。</w:t>
      </w:r>
    </w:p>
    <w:p w14:paraId="54E395CE">
      <w:pPr>
        <w:spacing w:line="560" w:lineRule="exact"/>
        <w:ind w:firstLine="643"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主体责任</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采购人应当在采购文件中明确异常低价投标（响应）审查的有关内容。”</w:t>
      </w:r>
    </w:p>
    <w:p w14:paraId="32DDD0AD">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审查主体及内容：“</w:t>
      </w:r>
      <w:r>
        <w:rPr>
          <w:rFonts w:hint="eastAsia" w:ascii="仿宋_GB2312" w:eastAsia="仿宋_GB2312"/>
          <w:color w:val="000000" w:themeColor="text1"/>
          <w:sz w:val="32"/>
          <w:szCs w:val="32"/>
          <w14:textFill>
            <w14:solidFill>
              <w14:schemeClr w14:val="tx1"/>
            </w14:solidFill>
          </w14:textFill>
        </w:rPr>
        <w:t>政府采购评审中出现下列情形之一的，</w:t>
      </w:r>
      <w:r>
        <w:rPr>
          <w:rFonts w:hint="eastAsia" w:ascii="仿宋_GB2312" w:eastAsia="仿宋_GB2312"/>
          <w:b/>
          <w:bCs/>
          <w:color w:val="000000" w:themeColor="text1"/>
          <w:sz w:val="32"/>
          <w:szCs w:val="32"/>
          <w14:textFill>
            <w14:solidFill>
              <w14:schemeClr w14:val="tx1"/>
            </w14:solidFill>
          </w14:textFill>
        </w:rPr>
        <w:t>评审委员会应当启动异常低价投标（响应）审查程序</w:t>
      </w:r>
      <w:r>
        <w:rPr>
          <w:rFonts w:hint="eastAsia" w:ascii="仿宋_GB2312" w:eastAsia="仿宋_GB2312"/>
          <w:color w:val="000000" w:themeColor="text1"/>
          <w:sz w:val="32"/>
          <w:szCs w:val="32"/>
          <w14:textFill>
            <w14:solidFill>
              <w14:schemeClr w14:val="tx1"/>
            </w14:solidFill>
          </w14:textFill>
        </w:rPr>
        <w:t>：（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7D29E9DA">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结果认定和运用</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08EED463">
      <w:pPr>
        <w:spacing w:line="560" w:lineRule="exact"/>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二、政府采购集中采购中印刷服务，如何理解和执行本单位文印部门承担的印刷业务？</w:t>
      </w:r>
      <w:r>
        <w:rPr>
          <w:rFonts w:ascii="黑体" w:hAnsi="黑体" w:eastAsia="黑体" w:cs="黑体-简"/>
          <w:color w:val="000000" w:themeColor="text1"/>
          <w:sz w:val="32"/>
          <w:szCs w:val="32"/>
          <w14:textFill>
            <w14:solidFill>
              <w14:schemeClr w14:val="tx1"/>
            </w14:solidFill>
          </w14:textFill>
        </w:rPr>
        <w:t xml:space="preserve"> </w:t>
      </w:r>
    </w:p>
    <w:p w14:paraId="5A49CF61">
      <w:pPr>
        <w:widowControl/>
        <w:ind w:firstLine="6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根据《中华人民共和国招标投标法实施条例》第九条“除招标投标法第六十六条规定的可以不进行招标的特殊情况外，有下列情形之一的，可以不进行招标：（二）采购人依法能够自行建设、生产或者提供”。</w:t>
      </w:r>
    </w:p>
    <w:p w14:paraId="0CDB8E11">
      <w:pPr>
        <w:widowControl/>
        <w:ind w:firstLine="6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集中采购中的印刷服务，如本单位具备承担印刷业务能力，并且符合相关法律法规的要求，那么采购人可以自行进行采购。</w:t>
      </w:r>
    </w:p>
    <w:p w14:paraId="1D125161">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三、《政府采购需求管理办法》</w:t>
      </w:r>
      <w:r>
        <w:rPr>
          <w:rFonts w:hint="eastAsia" w:ascii="黑体" w:hAnsi="黑体" w:eastAsia="黑体"/>
          <w:color w:val="000000" w:themeColor="text1"/>
          <w:sz w:val="32"/>
          <w:szCs w:val="32"/>
          <w14:textFill>
            <w14:solidFill>
              <w14:schemeClr w14:val="tx1"/>
            </w14:solidFill>
          </w14:textFill>
        </w:rPr>
        <w:t>第十一条“</w:t>
      </w:r>
      <w:r>
        <w:rPr>
          <w:rFonts w:hint="eastAsia" w:ascii="黑体" w:hAnsi="黑体" w:eastAsia="黑体" w:cs="仿宋_GB2312"/>
          <w:color w:val="000000" w:themeColor="text1"/>
          <w:sz w:val="32"/>
          <w:szCs w:val="32"/>
          <w14:textFill>
            <w14:solidFill>
              <w14:schemeClr w14:val="tx1"/>
            </w14:solidFill>
          </w14:textFill>
        </w:rPr>
        <w:t>对于下列采购项目，应当开展需求调查：</w:t>
      </w:r>
      <w:r>
        <w:rPr>
          <w:rFonts w:hint="eastAsia" w:ascii="黑体" w:hAnsi="黑体" w:eastAsia="黑体"/>
          <w:color w:val="000000" w:themeColor="text1"/>
          <w:sz w:val="32"/>
          <w:szCs w:val="32"/>
          <w14:textFill>
            <w14:solidFill>
              <w14:schemeClr w14:val="tx1"/>
            </w14:solidFill>
          </w14:textFill>
        </w:rPr>
        <w:t>（一）1000万元以上的货物、服务采购项目，3000万元以上的工程采购项目；（二）涉及公共利益、社会关注度较高的采购项目，包括政府向社会公众提供的公共服务项目等；（三）技术复杂、专业性较强的项目，包括需定制开发的信息化建设项目、采购进口产品的项目等；（四）主管预算单位或者采购人认为需要开展需求调查的其他采购项目。编制采购需求前一年内，采购人已就相关采购标的开展过需求调查的可以不再重复开展”的规定。</w:t>
      </w:r>
      <w:r>
        <w:rPr>
          <w:rFonts w:hint="eastAsia" w:ascii="黑体" w:hAnsi="黑体" w:eastAsia="黑体"/>
          <w:bCs/>
          <w:color w:val="000000" w:themeColor="text1"/>
          <w:sz w:val="32"/>
          <w:szCs w:val="32"/>
          <w14:textFill>
            <w14:solidFill>
              <w14:schemeClr w14:val="tx1"/>
            </w14:solidFill>
          </w14:textFill>
        </w:rPr>
        <w:t>文件条款中，“对于下列采购项目，应当开展需求调查”中的“应当”这个标准如何掌握？</w:t>
      </w:r>
    </w:p>
    <w:p w14:paraId="5FFD69D5">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全国人大法工委先后印发的两个规范：《立法技术规范（试行）（一）》（法工委发【2009】62号）明确涉及到了法律法规中这些常用词中“应当”与“必须”的含义没有实质区别。法律在表述义务性规范时，一般用“应当”，不用“必须”。</w:t>
      </w:r>
    </w:p>
    <w:p w14:paraId="01D0C896">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w:t>
      </w:r>
      <w:r>
        <w:rPr>
          <w:rFonts w:hint="eastAsia" w:ascii="黑体" w:hAnsi="黑体" w:eastAsia="黑体" w:cs="黑体-简"/>
          <w:color w:val="000000" w:themeColor="text1"/>
          <w:sz w:val="32"/>
          <w:szCs w:val="32"/>
          <w14:textFill>
            <w14:solidFill>
              <w14:schemeClr w14:val="tx1"/>
            </w14:solidFill>
          </w14:textFill>
        </w:rPr>
        <w:t>《政府采购需求管理办法》中</w:t>
      </w:r>
      <w:r>
        <w:rPr>
          <w:rFonts w:hint="eastAsia" w:ascii="黑体" w:hAnsi="黑体" w:eastAsia="黑体"/>
          <w:bCs/>
          <w:color w:val="000000" w:themeColor="text1"/>
          <w:sz w:val="32"/>
          <w:szCs w:val="32"/>
          <w14:textFill>
            <w14:solidFill>
              <w14:schemeClr w14:val="tx1"/>
            </w14:solidFill>
          </w14:textFill>
        </w:rPr>
        <w:t>“涉及公共利益、社会关注度较高的采购项目”，高校双高专项资金支出、与教师、学生密切相关的如篮球场建设、物业服务、安保服务和学生公寓洗浴等项目是否都属于要进行需求调查的项目？</w:t>
      </w:r>
    </w:p>
    <w:p w14:paraId="172E5C3C">
      <w:pPr>
        <w:spacing w:line="560" w:lineRule="exact"/>
        <w:ind w:firstLine="640" w:firstLineChars="200"/>
        <w:rPr>
          <w:rFonts w:ascii="黑体" w:hAnsi="黑体" w:eastAsia="黑体"/>
          <w:b/>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答：</w:t>
      </w:r>
      <w:r>
        <w:rPr>
          <w:rFonts w:hint="eastAsia" w:ascii="仿宋_GB2312" w:eastAsia="仿宋_GB2312"/>
          <w:color w:val="000000" w:themeColor="text1"/>
          <w:sz w:val="32"/>
          <w:szCs w:val="32"/>
          <w14:textFill>
            <w14:solidFill>
              <w14:schemeClr w14:val="tx1"/>
            </w14:solidFill>
          </w14:textFill>
        </w:rPr>
        <w:t>是否属于需求调查的项目请参照学校内部控制规定确定。1000万以上的项目要做需求调查。</w:t>
      </w:r>
    </w:p>
    <w:p w14:paraId="1B4C3DB4">
      <w:pPr>
        <w:spacing w:line="560" w:lineRule="exact"/>
        <w:ind w:firstLine="643"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五、</w:t>
      </w:r>
      <w:r>
        <w:rPr>
          <w:rFonts w:hint="eastAsia" w:ascii="黑体" w:hAnsi="黑体" w:eastAsia="黑体" w:cs="黑体-简"/>
          <w:color w:val="000000" w:themeColor="text1"/>
          <w:sz w:val="32"/>
          <w:szCs w:val="32"/>
          <w14:textFill>
            <w14:solidFill>
              <w14:schemeClr w14:val="tx1"/>
            </w14:solidFill>
          </w14:textFill>
        </w:rPr>
        <w:t>《政府采购需求管理办法》中</w:t>
      </w:r>
      <w:r>
        <w:rPr>
          <w:rFonts w:hint="eastAsia" w:ascii="黑体" w:hAnsi="黑体" w:eastAsia="黑体"/>
          <w:color w:val="000000" w:themeColor="text1"/>
          <w:sz w:val="32"/>
          <w:szCs w:val="32"/>
          <w14:textFill>
            <w14:solidFill>
              <w14:schemeClr w14:val="tx1"/>
            </w14:solidFill>
          </w14:textFill>
        </w:rPr>
        <w:t>“技术复杂、专业性较强的项目”</w:t>
      </w:r>
      <w:r>
        <w:rPr>
          <w:rFonts w:hint="eastAsia" w:ascii="黑体" w:hAnsi="黑体" w:eastAsia="黑体"/>
          <w:bCs/>
          <w:color w:val="000000" w:themeColor="text1"/>
          <w:sz w:val="32"/>
          <w:szCs w:val="32"/>
          <w14:textFill>
            <w14:solidFill>
              <w14:schemeClr w14:val="tx1"/>
            </w14:solidFill>
          </w14:textFill>
        </w:rPr>
        <w:t>是否都要进行需求调查？</w:t>
      </w:r>
    </w:p>
    <w:p w14:paraId="780ABCA8">
      <w:pPr>
        <w:spacing w:line="560" w:lineRule="exact"/>
        <w:ind w:firstLine="640" w:firstLineChars="200"/>
        <w:rPr>
          <w:rFonts w:ascii="黑体" w:hAnsi="黑体" w:eastAsia="黑体"/>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答：</w:t>
      </w:r>
      <w:r>
        <w:rPr>
          <w:rFonts w:hint="eastAsia" w:ascii="仿宋_GB2312" w:eastAsia="仿宋_GB2312"/>
          <w:color w:val="000000" w:themeColor="text1"/>
          <w:sz w:val="32"/>
          <w:szCs w:val="32"/>
          <w14:textFill>
            <w14:solidFill>
              <w14:schemeClr w14:val="tx1"/>
            </w14:solidFill>
          </w14:textFill>
        </w:rPr>
        <w:t>是否属于需求调查的项目请参照学校内部控制规定确定。1000万以上的项目要做需求调查。</w:t>
      </w:r>
    </w:p>
    <w:p w14:paraId="0D0F358C">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六、招标采购需求调查在什么节点开展比较合理？是在预算项目库入库之前还是在政府采购实施之前？</w:t>
      </w:r>
    </w:p>
    <w:p w14:paraId="7369554D">
      <w:pPr>
        <w:spacing w:line="560" w:lineRule="exact"/>
        <w:ind w:firstLine="640" w:firstLineChars="200"/>
        <w:rPr>
          <w:rFonts w:ascii="仿宋_GB2312" w:hAnsi="黑体-简" w:eastAsia="仿宋_GB2312" w:cs="黑体-简"/>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政府采购需求管理，是指采购人组织确定采购需求和编制采购实施计划，并实施相关风险控制管理的活动。预算项目库入库前的调研论证工作不能简单等同于采购项目立项后的采购需求管理，政府采购实施之前的采购需求更具体详细，更具操作性。</w:t>
      </w:r>
    </w:p>
    <w:p w14:paraId="4B8A29F3">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七、《政府采购法》第十八条“...... 纳入集中采购目录属于通用的政府采购项目的，应当委托集中采购机构代理采购；属于本部门、本系统有特殊要求的项目，应当实行部门集中采购；属于本单位有特殊要求的项目，经省级以上人民政府批准，可以自行采购”。</w:t>
      </w:r>
      <w:r>
        <w:rPr>
          <w:rFonts w:hint="eastAsia" w:ascii="黑体" w:hAnsi="黑体" w:eastAsia="黑体"/>
          <w:bCs/>
          <w:color w:val="000000" w:themeColor="text1"/>
          <w:sz w:val="32"/>
          <w:szCs w:val="32"/>
          <w14:textFill>
            <w14:solidFill>
              <w14:schemeClr w14:val="tx1"/>
            </w14:solidFill>
          </w14:textFill>
        </w:rPr>
        <w:t>这个对本部门、本系统有特殊要求的项目，指的是哪些项目？部门集中采购的概念是否指的是教育主管部门进行采购？</w:t>
      </w:r>
    </w:p>
    <w:p w14:paraId="1A41269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答：目前，省属高校没有本部门、本系统有特殊要求的项目，省教育厅未明确部门集中采购目录。</w:t>
      </w:r>
    </w:p>
    <w:p w14:paraId="18D08D30">
      <w:pPr>
        <w:spacing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八、“属于本单位有特殊要求的项目，经省级以上人民政府批准，可以自行采购”。单位有特殊要求的项目，比如学生试卷、带有学校标志的文创产品等采购，还要经过省级以上人民政府审批么？有特殊要求的项目通常指的哪些项目？</w:t>
      </w:r>
    </w:p>
    <w:p w14:paraId="79DD4BC5">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答：所举示例不属于特殊要求的项目。</w:t>
      </w:r>
    </w:p>
    <w:p w14:paraId="37549A38">
      <w:pPr>
        <w:spacing w:line="560" w:lineRule="exact"/>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九、现在高校的设备或者服务采用竞争性磋商方式进行招标的占比比例非常高，但是按照《政府采购竞争性磋商采购方式管理暂行办法》第三条“竞争性磋商方式的适用条件是需求不能明确，详细规格不能确定的货物或者服务”。但现实中，采购金额不超过400万的货物（包括标准化的货物、服务）几乎都采用了竞争性磋商方式，是否合理？竞争性谈判为什么很少用？</w:t>
      </w:r>
    </w:p>
    <w:p w14:paraId="43952EE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财政部关于加强政府采购货物和服务项目价格评审管理的通知》（财库〔2007〕2号）规定，竞争性谈判只能采用最低评标价法，因此，该方式更适用于技术、服务等标准相对统一，技术因素在评审过程中不是主要因素的货物和服务项目。《政府采购竞争性磋商采购方式管理暂行办法》第三条明确了竞争性磋商方式的五种适用情形。不过，该办法第二十三条规定，其评审方法为综合评分法，因此其更适用于技术复杂、标准不统一的项目。综上，采购方式的选择由采购人综合考虑项目的特点、预算、时间要求和市场环境，以及法律法规政策文件规定等因素确定，并非一种方式一定优于另一种方式，更不能生搬硬套。</w:t>
      </w:r>
    </w:p>
    <w:p w14:paraId="2D81ABA4">
      <w:pPr>
        <w:spacing w:line="560" w:lineRule="exact"/>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十、根据校内部门需求订制开发的软件是否应按照服务类来采购？按照货物或服务来采购，在竞争性磋商中价格赋分的分值范围可能差别较大：如果按照货物类采购，价格分值按照货物的最高分60分取值，极有可能会导致低价中标。</w:t>
      </w:r>
    </w:p>
    <w:p w14:paraId="07FA3A5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答：订制开发的软件采购项目通常归类为服务类采购，价格分值按照10-30分确定</w:t>
      </w:r>
      <w:r>
        <w:rPr>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如果采购项目中硬件设备较多，价格占比超过50%，一般会认定为货物类采购，价格分值按照30-60分确定。</w:t>
      </w:r>
    </w:p>
    <w:p w14:paraId="0107780B">
      <w:pPr>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十一</w:t>
      </w:r>
      <w:r>
        <w:rPr>
          <w:rFonts w:ascii="黑体" w:hAnsi="黑体" w:eastAsia="黑体" w:cs="黑体-简"/>
          <w:color w:val="000000" w:themeColor="text1"/>
          <w:sz w:val="32"/>
          <w:szCs w:val="32"/>
          <w14:textFill>
            <w14:solidFill>
              <w14:schemeClr w14:val="tx1"/>
            </w14:solidFill>
          </w14:textFill>
        </w:rPr>
        <w:t>、</w:t>
      </w:r>
      <w:r>
        <w:rPr>
          <w:rFonts w:hint="eastAsia" w:ascii="黑体" w:hAnsi="黑体" w:eastAsia="黑体" w:cs="黑体-简"/>
          <w:color w:val="000000" w:themeColor="text1"/>
          <w:sz w:val="32"/>
          <w:szCs w:val="32"/>
          <w14:textFill>
            <w14:solidFill>
              <w14:schemeClr w14:val="tx1"/>
            </w14:solidFill>
          </w14:textFill>
        </w:rPr>
        <w:t>高校食堂大宗食品采购，很多才用了联采联供，是否合适？</w:t>
      </w:r>
      <w:r>
        <w:rPr>
          <w:rFonts w:ascii="黑体" w:hAnsi="黑体" w:eastAsia="黑体" w:cs="黑体-简"/>
          <w:color w:val="000000" w:themeColor="text1"/>
          <w:sz w:val="32"/>
          <w:szCs w:val="32"/>
          <w14:textFill>
            <w14:solidFill>
              <w14:schemeClr w14:val="tx1"/>
            </w14:solidFill>
          </w14:textFill>
        </w:rPr>
        <w:t xml:space="preserve"> </w:t>
      </w:r>
    </w:p>
    <w:p w14:paraId="04E6E8B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答：可以。</w:t>
      </w:r>
    </w:p>
    <w:p w14:paraId="35E4EEB5">
      <w:pPr>
        <w:spacing w:line="560" w:lineRule="exact"/>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十二</w:t>
      </w:r>
      <w:r>
        <w:rPr>
          <w:rFonts w:ascii="黑体" w:hAnsi="黑体" w:eastAsia="黑体" w:cs="黑体-简"/>
          <w:color w:val="000000" w:themeColor="text1"/>
          <w:sz w:val="32"/>
          <w:szCs w:val="32"/>
          <w14:textFill>
            <w14:solidFill>
              <w14:schemeClr w14:val="tx1"/>
            </w14:solidFill>
          </w14:textFill>
        </w:rPr>
        <w:t>、</w:t>
      </w:r>
      <w:r>
        <w:rPr>
          <w:rFonts w:hint="eastAsia" w:ascii="黑体" w:hAnsi="黑体" w:eastAsia="黑体" w:cs="黑体-简"/>
          <w:color w:val="000000" w:themeColor="text1"/>
          <w:sz w:val="32"/>
          <w:szCs w:val="32"/>
          <w14:textFill>
            <w14:solidFill>
              <w14:schemeClr w14:val="tx1"/>
            </w14:solidFill>
          </w14:textFill>
        </w:rPr>
        <w:t>工程招标过程中，货物或设备的采购比例上限是多少？在工程审计中如何处理？</w:t>
      </w:r>
      <w:r>
        <w:rPr>
          <w:rFonts w:ascii="黑体" w:hAnsi="黑体" w:eastAsia="黑体" w:cs="黑体-简"/>
          <w:color w:val="000000" w:themeColor="text1"/>
          <w:sz w:val="32"/>
          <w:szCs w:val="32"/>
          <w14:textFill>
            <w14:solidFill>
              <w14:schemeClr w14:val="tx1"/>
            </w14:solidFill>
          </w14:textFill>
        </w:rPr>
        <w:t xml:space="preserve"> </w:t>
      </w:r>
    </w:p>
    <w:p w14:paraId="7AF1E939">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答：法律法规未明确规定工程项目中材料、设备占比。</w:t>
      </w:r>
    </w:p>
    <w:p w14:paraId="01E442A6">
      <w:pPr>
        <w:widowControl/>
        <w:jc w:val="left"/>
        <w:rPr>
          <w:rFonts w:ascii="黑体" w:hAnsi="黑体" w:eastAsia="黑体" w:cs="黑体-简"/>
          <w:color w:val="000000" w:themeColor="text1"/>
          <w:sz w:val="32"/>
          <w:szCs w:val="32"/>
          <w14:textFill>
            <w14:solidFill>
              <w14:schemeClr w14:val="tx1"/>
            </w14:solidFill>
          </w14:textFill>
        </w:rPr>
      </w:pPr>
      <w:r>
        <w:rPr>
          <w:color w:val="000000" w:themeColor="text1"/>
          <w14:textFill>
            <w14:solidFill>
              <w14:schemeClr w14:val="tx1"/>
            </w14:solidFill>
          </w14:textFill>
        </w:rPr>
        <w:t xml:space="preserve">      </w:t>
      </w:r>
      <w:r>
        <w:rPr>
          <w:rFonts w:hint="eastAsia" w:ascii="黑体" w:hAnsi="黑体" w:eastAsia="黑体" w:cs="黑体-简"/>
          <w:color w:val="000000" w:themeColor="text1"/>
          <w:sz w:val="32"/>
          <w:szCs w:val="32"/>
          <w14:textFill>
            <w14:solidFill>
              <w14:schemeClr w14:val="tx1"/>
            </w14:solidFill>
          </w14:textFill>
        </w:rPr>
        <w:t>十三</w:t>
      </w:r>
      <w:r>
        <w:rPr>
          <w:rFonts w:ascii="黑体" w:hAnsi="黑体" w:eastAsia="黑体" w:cs="黑体-简"/>
          <w:color w:val="000000" w:themeColor="text1"/>
          <w:sz w:val="32"/>
          <w:szCs w:val="32"/>
          <w14:textFill>
            <w14:solidFill>
              <w14:schemeClr w14:val="tx1"/>
            </w14:solidFill>
          </w14:textFill>
        </w:rPr>
        <w:t>、设备重复购置的标准是什么？有没有相关的文件规定？对于解决重复购置问题，有没有好的办法？</w:t>
      </w:r>
    </w:p>
    <w:p w14:paraId="0EA847E1">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按照《中央级新购大型科研仪器设备查重评议管理办法》财科教〔2019〕1号规定，“查重评议”是指有关单位申请购置大型科研仪器设备预算时，提请负责审核批复仪器设备购置事项预算的部门或单位对新购大型科研仪器设备的学科相关性、必要性、合理性等进行评议，从源头上避免仪器设备重复购置，提高利用效率。具有下述情况之一的不建议购置：</w:t>
      </w:r>
    </w:p>
    <w:p w14:paraId="60A733C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（一）申购单位及本地区现存同类仪器设备较多且功能可以满足当前研究需要，可以通过共享支撑当前研究（一般按照现有共享仪器设备利用机时不足1200小时来判断）。</w:t>
      </w:r>
    </w:p>
    <w:p w14:paraId="1D9119E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（二）申购仪器设备与本项目的研究方向不符。</w:t>
      </w:r>
    </w:p>
    <w:p w14:paraId="700CBF8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（三）对申购仪器设备刻意拆分、打包或未使用规范名称。</w:t>
      </w:r>
    </w:p>
    <w:p w14:paraId="044A844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（四）申购单位缺乏合适的专职/兼职实验管理人员、仪器设备操作人员。</w:t>
      </w:r>
    </w:p>
    <w:p w14:paraId="0ABC767F">
      <w:pPr>
        <w:widowControl/>
        <w:ind w:firstLine="640" w:firstLineChars="200"/>
        <w:jc w:val="left"/>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十四</w:t>
      </w:r>
      <w:r>
        <w:rPr>
          <w:rFonts w:ascii="黑体" w:hAnsi="黑体" w:eastAsia="黑体" w:cs="黑体-简"/>
          <w:color w:val="000000" w:themeColor="text1"/>
          <w:sz w:val="32"/>
          <w:szCs w:val="32"/>
          <w14:textFill>
            <w14:solidFill>
              <w14:schemeClr w14:val="tx1"/>
            </w14:solidFill>
          </w14:textFill>
        </w:rPr>
        <w:t xml:space="preserve">、从预防风险的角度，单位希望审计对采购预算进行把关，这项工作怎么能够开展的非常的有效，能够把工程、服务、货物有机的、相应的进行好的统一？ </w:t>
      </w:r>
    </w:p>
    <w:p w14:paraId="177F3B18">
      <w:pPr>
        <w:ind w:firstLine="420" w:firstLineChars="200"/>
        <w:rPr>
          <w:rFonts w:ascii="仿宋_GB2312" w:eastAsia="仿宋_GB2312"/>
          <w:color w:val="000000" w:themeColor="text1"/>
          <w:sz w:val="32"/>
          <w:szCs w:val="32"/>
          <w14:textFill>
            <w14:solidFill>
              <w14:schemeClr w14:val="tx1"/>
            </w14:solidFill>
          </w14:textFill>
        </w:rPr>
      </w:pPr>
      <w:r>
        <w:rPr>
          <w:color w:val="000000" w:themeColor="text1"/>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答：以下审计工作内容仅供参考：</w:t>
      </w:r>
    </w:p>
    <w:p w14:paraId="71C7724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1.根据学校内审规定，确定需要采购预算审计的范围。</w:t>
      </w:r>
    </w:p>
    <w:p w14:paraId="4D0C5B6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明确货物、服务类项目预算审计需要提交的资料和注意事项。（1）货物类项目采购预算表中需明确详细采购内容、技术参数、数量、单价等。服务类项目采购预算表中需明确项目需求，包括技术参数、预算构成等。（2）注意事项：提交的预算审计资料信息需要涵盖所有影响项目总价的因素，并且不能有品牌、制造商、代理商等指向性、倾向性的技术要求。</w:t>
      </w:r>
    </w:p>
    <w:p w14:paraId="643D021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明确工程类项目预算审计需要提交的资料和注意事项。（1）工程类项目预算审计需要提交施工图的CAD软件版及清单计价形式的预算表。（2）注意事项：项目主管单位需要深化项目设计，考虑完备、防止漏项；提前将建设方案与后勤、安保等单位进行沟通，排除设计在水、电、暖气、消防等方面的安全隐患；图纸绘制要能够完整体现施工具体要求，并与拟建设场地状况相符；预算表中工程量要与设计图纸相符，涉及工程物资采购项目特征描述要完整准确，不能有指向性。</w:t>
      </w:r>
    </w:p>
    <w:p w14:paraId="4376DC55">
      <w:pPr>
        <w:widowControl/>
        <w:ind w:firstLine="640" w:firstLineChars="200"/>
        <w:jc w:val="left"/>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 xml:space="preserve">十五、如何解决归口管理与放管服（如学校零星采购金额越来越高）的矛盾？ </w:t>
      </w:r>
    </w:p>
    <w:p w14:paraId="114FADF5">
      <w:pPr>
        <w:rPr>
          <w:rFonts w:ascii="仿宋_GB2312" w:eastAsia="仿宋_GB2312"/>
          <w:color w:val="000000" w:themeColor="text1"/>
          <w:sz w:val="32"/>
          <w:szCs w:val="32"/>
          <w14:textFill>
            <w14:solidFill>
              <w14:schemeClr w14:val="tx1"/>
            </w14:solidFill>
          </w14:textFill>
        </w:rPr>
      </w:pPr>
      <w:r>
        <w:rPr>
          <w:rFonts w:ascii="黑体-简" w:hAnsi="黑体-简" w:eastAsia="黑体-简" w:cs="黑体-简"/>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答：按照学校内部控制管理规定执行。</w:t>
      </w:r>
    </w:p>
    <w:p w14:paraId="51FE614B">
      <w:pPr>
        <w:widowControl/>
        <w:ind w:firstLine="640" w:firstLineChars="200"/>
        <w:jc w:val="left"/>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十六、在经济责任审计、合同等专项审计中多会涉及到招标采购问题，但一般多为事后的情况，提出问题多为提醒类，如何解决屡审屡犯？</w:t>
      </w:r>
    </w:p>
    <w:p w14:paraId="46FF735E">
      <w:pPr>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答：建立审计发现重大问题风险提醒，加强宣传教育；定期对反弹问题开展整改回头看工作；加强任中经济责任审计和巡察监督合力，对屡审屡犯问题列入必查内容，督促领导人员履职尽责。</w:t>
      </w:r>
    </w:p>
    <w:p w14:paraId="262C5A83">
      <w:pPr>
        <w:widowControl/>
        <w:ind w:firstLine="640" w:firstLineChars="200"/>
        <w:jc w:val="left"/>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十七、竞争性磋商确定的工程施工单位，某单位一般签订两个合同，因为政采合同都是制式条款，所以补充再签订一个工程施工合同。如果是真正发生法律纠纷的时候，这两个合同的解释顺序是什么呢？</w:t>
      </w:r>
    </w:p>
    <w:p w14:paraId="41D8D1B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答：合同效力问题要依据合同签署的时间和双方当事人的真实意思表达，并依据法律法规综合分析确定。</w:t>
      </w:r>
    </w:p>
    <w:p w14:paraId="17CA9685">
      <w:pPr>
        <w:rPr>
          <w:rFonts w:ascii="黑体" w:hAnsi="黑体" w:eastAsia="黑体" w:cs="黑体-简"/>
          <w:color w:val="000000" w:themeColor="text1"/>
          <w:sz w:val="32"/>
          <w:szCs w:val="32"/>
          <w14:textFill>
            <w14:solidFill>
              <w14:schemeClr w14:val="tx1"/>
            </w14:solidFill>
          </w14:textFill>
        </w:rPr>
      </w:pPr>
      <w:r>
        <w:rPr>
          <w:rFonts w:ascii="黑体-简" w:hAnsi="黑体-简" w:eastAsia="黑体-简" w:cs="黑体-简"/>
          <w:color w:val="000000" w:themeColor="text1"/>
          <w:sz w:val="32"/>
          <w:szCs w:val="32"/>
          <w14:textFill>
            <w14:solidFill>
              <w14:schemeClr w14:val="tx1"/>
            </w14:solidFill>
          </w14:textFill>
        </w:rPr>
        <w:t xml:space="preserve"> </w:t>
      </w:r>
      <w:r>
        <w:rPr>
          <w:rFonts w:ascii="黑体" w:hAnsi="黑体" w:eastAsia="黑体" w:cs="黑体-简"/>
          <w:color w:val="000000" w:themeColor="text1"/>
          <w:sz w:val="32"/>
          <w:szCs w:val="32"/>
          <w14:textFill>
            <w14:solidFill>
              <w14:schemeClr w14:val="tx1"/>
            </w14:solidFill>
          </w14:textFill>
        </w:rPr>
        <w:t xml:space="preserve">   十</w:t>
      </w:r>
      <w:r>
        <w:rPr>
          <w:rFonts w:hint="eastAsia" w:ascii="黑体" w:hAnsi="黑体" w:eastAsia="黑体" w:cs="黑体-简"/>
          <w:color w:val="000000" w:themeColor="text1"/>
          <w:sz w:val="32"/>
          <w:szCs w:val="32"/>
          <w14:textFill>
            <w14:solidFill>
              <w14:schemeClr w14:val="tx1"/>
            </w14:solidFill>
          </w14:textFill>
        </w:rPr>
        <w:t>八</w:t>
      </w:r>
      <w:r>
        <w:rPr>
          <w:rFonts w:ascii="黑体" w:hAnsi="黑体" w:eastAsia="黑体" w:cs="黑体-简"/>
          <w:color w:val="000000" w:themeColor="text1"/>
          <w:sz w:val="32"/>
          <w:szCs w:val="32"/>
          <w14:textFill>
            <w14:solidFill>
              <w14:schemeClr w14:val="tx1"/>
            </w14:solidFill>
          </w14:textFill>
        </w:rPr>
        <w:t>、工程税率9％和3%的问题。</w:t>
      </w:r>
    </w:p>
    <w:p w14:paraId="347960E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答：以税务部门答复为准。</w:t>
      </w:r>
    </w:p>
    <w:p w14:paraId="297782D3">
      <w:pPr>
        <w:ind w:firstLine="640" w:firstLineChars="200"/>
        <w:rPr>
          <w:rFonts w:ascii="黑体" w:hAnsi="黑体" w:eastAsia="黑体" w:cs="黑体-简"/>
          <w:color w:val="000000" w:themeColor="text1"/>
          <w:sz w:val="32"/>
          <w:szCs w:val="32"/>
          <w14:textFill>
            <w14:solidFill>
              <w14:schemeClr w14:val="tx1"/>
            </w14:solidFill>
          </w14:textFill>
        </w:rPr>
      </w:pPr>
      <w:r>
        <w:rPr>
          <w:rFonts w:ascii="黑体" w:hAnsi="黑体" w:eastAsia="黑体" w:cs="黑体-简"/>
          <w:color w:val="000000" w:themeColor="text1"/>
          <w:sz w:val="32"/>
          <w:szCs w:val="32"/>
          <w14:textFill>
            <w14:solidFill>
              <w14:schemeClr w14:val="tx1"/>
            </w14:solidFill>
          </w14:textFill>
        </w:rPr>
        <w:t>十</w:t>
      </w:r>
      <w:r>
        <w:rPr>
          <w:rFonts w:hint="eastAsia" w:ascii="黑体" w:hAnsi="黑体" w:eastAsia="黑体" w:cs="黑体-简"/>
          <w:color w:val="000000" w:themeColor="text1"/>
          <w:sz w:val="32"/>
          <w:szCs w:val="32"/>
          <w14:textFill>
            <w14:solidFill>
              <w14:schemeClr w14:val="tx1"/>
            </w14:solidFill>
          </w14:textFill>
        </w:rPr>
        <w:t>九</w:t>
      </w:r>
      <w:r>
        <w:rPr>
          <w:rFonts w:ascii="黑体" w:hAnsi="黑体" w:eastAsia="黑体" w:cs="黑体-简"/>
          <w:color w:val="000000" w:themeColor="text1"/>
          <w:sz w:val="32"/>
          <w:szCs w:val="32"/>
          <w14:textFill>
            <w14:solidFill>
              <w14:schemeClr w14:val="tx1"/>
            </w14:solidFill>
          </w14:textFill>
        </w:rPr>
        <w:t xml:space="preserve">、学校内部审计发现家具、碎纸机等货物未经集采，学校有关部门采取积极措施整改，以后上级检查还会上报告吗？ </w:t>
      </w:r>
    </w:p>
    <w:p w14:paraId="03F73C85">
      <w:pPr>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w:t>
      </w:r>
      <w:r>
        <w:rPr>
          <w:rFonts w:hint="eastAsia" w:ascii="仿宋_GB2312" w:eastAsia="仿宋_GB2312"/>
          <w:bCs/>
          <w:color w:val="000000" w:themeColor="text1"/>
          <w:sz w:val="32"/>
          <w:szCs w:val="32"/>
          <w14:textFill>
            <w14:solidFill>
              <w14:schemeClr w14:val="tx1"/>
            </w14:solidFill>
          </w14:textFill>
        </w:rPr>
        <w:t>《山东省部门和单位内部管理领导干部经济责任审计办法（试行）》（鲁审委办发〔2025〕7 号）：对内部审计发现并已整改到位，且未造成严重经济损失或恶劣影响的问题，经审计机关评估确认整改措施有效，问题根源已消除，原则上不再在审计机关的审计报告中反映。</w:t>
      </w:r>
    </w:p>
    <w:p w14:paraId="18C95E85">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二十、印刷费一部分进行了集采，一部分零星印刷了，导致年终决算时印刷费超过年初预算，这种现象该如何解决，审计如何监管？ </w:t>
      </w:r>
    </w:p>
    <w:p w14:paraId="7326DB2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答：可以结合上年末决算数，预留出一定份额，合理确定本单位本年印刷费预算。</w:t>
      </w:r>
    </w:p>
    <w:p w14:paraId="75F01A44">
      <w:pPr>
        <w:widowControl/>
        <w:ind w:firstLine="640" w:firstLineChars="200"/>
        <w:jc w:val="left"/>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 xml:space="preserve">二十一、学校科教融合设备购买时绩效指标编报不实，学校购买了很多检测设备，仍存在很多检测费用在校外发生的现象，应该怎么应对？ </w:t>
      </w:r>
    </w:p>
    <w:p w14:paraId="7DA2AEE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答：可以从以下几方面着手：</w:t>
      </w:r>
    </w:p>
    <w:p w14:paraId="70945D7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1.核实设备运行能力。针对拟采购设备的名称、规格、型号，聘请专家从专业角度给出运行能力相关指标。</w:t>
      </w:r>
    </w:p>
    <w:p w14:paraId="2F64A50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2.校准教师科研、学生上课需要的设备型号及数量。按实际需要采购，严格审批、采购、验收程序。</w:t>
      </w:r>
    </w:p>
    <w:p w14:paraId="66FEE03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b/>
          <w:bCs/>
          <w:color w:val="000000" w:themeColor="text1"/>
          <w:sz w:val="32"/>
          <w:szCs w:val="32"/>
          <w14:textFill>
            <w14:solidFill>
              <w14:schemeClr w14:val="tx1"/>
            </w14:solidFill>
          </w14:textFill>
        </w:rPr>
        <w:t>建议</w:t>
      </w:r>
      <w:r>
        <w:rPr>
          <w:rFonts w:hint="eastAsia" w:ascii="仿宋_GB2312" w:eastAsia="仿宋_GB2312"/>
          <w:color w:val="000000" w:themeColor="text1"/>
          <w:sz w:val="32"/>
          <w:szCs w:val="32"/>
          <w14:textFill>
            <w14:solidFill>
              <w14:schemeClr w14:val="tx1"/>
            </w14:solidFill>
          </w14:textFill>
        </w:rPr>
        <w:t>制定</w:t>
      </w:r>
      <w:r>
        <w:rPr>
          <w:rFonts w:hint="eastAsia" w:ascii="仿宋_GB2312" w:eastAsia="仿宋_GB2312"/>
          <w:b/>
          <w:bCs/>
          <w:color w:val="000000" w:themeColor="text1"/>
          <w:sz w:val="32"/>
          <w:szCs w:val="32"/>
          <w14:textFill>
            <w14:solidFill>
              <w14:schemeClr w14:val="tx1"/>
            </w14:solidFill>
          </w14:textFill>
        </w:rPr>
        <w:t>大额</w:t>
      </w:r>
      <w:r>
        <w:rPr>
          <w:rFonts w:hint="eastAsia" w:ascii="仿宋_GB2312" w:eastAsia="仿宋_GB2312"/>
          <w:color w:val="000000" w:themeColor="text1"/>
          <w:sz w:val="32"/>
          <w:szCs w:val="32"/>
          <w14:textFill>
            <w14:solidFill>
              <w14:schemeClr w14:val="tx1"/>
            </w14:solidFill>
          </w14:textFill>
        </w:rPr>
        <w:t>校外检测费用报销程序及标准。经过事先申请，事后才能报销。</w:t>
      </w:r>
    </w:p>
    <w:p w14:paraId="53D5BBC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4.加强内部监管，对检测费用进行专项审计，对检测设备使用情况进行调查，堵住管理漏洞。</w:t>
      </w:r>
    </w:p>
    <w:p w14:paraId="72566910">
      <w:pPr>
        <w:ind w:firstLine="640" w:firstLineChars="200"/>
        <w:rPr>
          <w:rFonts w:ascii="黑体" w:hAnsi="黑体" w:eastAsia="黑体" w:cs="黑体-简"/>
          <w:color w:val="000000" w:themeColor="text1"/>
          <w:sz w:val="32"/>
          <w:szCs w:val="32"/>
          <w14:textFill>
            <w14:solidFill>
              <w14:schemeClr w14:val="tx1"/>
            </w14:solidFill>
          </w14:textFill>
        </w:rPr>
      </w:pPr>
      <w:r>
        <w:rPr>
          <w:rFonts w:hint="eastAsia" w:ascii="黑体" w:hAnsi="黑体" w:eastAsia="黑体" w:cs="黑体-简"/>
          <w:color w:val="000000" w:themeColor="text1"/>
          <w:sz w:val="32"/>
          <w:szCs w:val="32"/>
          <w14:textFill>
            <w14:solidFill>
              <w14:schemeClr w14:val="tx1"/>
            </w14:solidFill>
          </w14:textFill>
        </w:rPr>
        <w:t>二十二、食堂委托经营还未到期限，合同约定食堂承包方承担食堂的维修改造，投资年限由投资额决定，投资多合作年限就长，投资少合作年限就短。学校对这部分投资费用未进行监管，现在怎么衡量合作年限是否合理？</w:t>
      </w:r>
    </w:p>
    <w:p w14:paraId="7BE9003A">
      <w:pPr>
        <w:ind w:firstLine="640" w:firstLineChars="200"/>
        <w:rPr>
          <w:rFonts w:ascii="仿宋_GB2312" w:hAnsi="黑体" w:eastAsia="仿宋_GB2312" w:cs="黑体-简"/>
          <w:color w:val="000000" w:themeColor="text1"/>
          <w:sz w:val="32"/>
          <w:szCs w:val="32"/>
          <w14:textFill>
            <w14:solidFill>
              <w14:schemeClr w14:val="tx1"/>
            </w14:solidFill>
          </w14:textFill>
        </w:rPr>
      </w:pPr>
      <w:r>
        <w:rPr>
          <w:rFonts w:hint="eastAsia" w:ascii="仿宋_GB2312" w:hAnsi="黑体" w:eastAsia="仿宋_GB2312" w:cs="黑体-简"/>
          <w:color w:val="000000" w:themeColor="text1"/>
          <w:sz w:val="32"/>
          <w:szCs w:val="32"/>
          <w14:textFill>
            <w14:solidFill>
              <w14:schemeClr w14:val="tx1"/>
            </w14:solidFill>
          </w14:textFill>
        </w:rPr>
        <w:t>答：根据《山东省教育厅关于规范高等学校学生食堂管理的意见》（鲁教财发〔2023〕1号）规定“目前引入社会力量建设、承包或委托经营的学生食堂，合同到期后改为学校自主经营。合同未到期的，学校可与运营方友好协商提前解除合作协议，并统筹考虑合同条款约定、固定资产折旧、未履约期限等因素，给予对方合理补偿”。</w:t>
      </w:r>
    </w:p>
    <w:p w14:paraId="75FA6038">
      <w:pPr>
        <w:ind w:firstLine="640" w:firstLineChars="200"/>
        <w:rPr>
          <w:rFonts w:ascii="仿宋_GB2312" w:hAnsi="黑体" w:eastAsia="仿宋_GB2312" w:cs="黑体-简"/>
          <w:color w:val="000000" w:themeColor="text1"/>
          <w:sz w:val="32"/>
          <w:szCs w:val="32"/>
          <w14:textFill>
            <w14:solidFill>
              <w14:schemeClr w14:val="tx1"/>
            </w14:solidFill>
          </w14:textFill>
        </w:rPr>
      </w:pPr>
      <w:r>
        <w:rPr>
          <w:rFonts w:hint="eastAsia" w:ascii="仿宋_GB2312" w:hAnsi="黑体" w:eastAsia="仿宋_GB2312" w:cs="黑体-简"/>
          <w:color w:val="000000" w:themeColor="text1"/>
          <w:sz w:val="32"/>
          <w:szCs w:val="32"/>
          <w14:textFill>
            <w14:solidFill>
              <w14:schemeClr w14:val="tx1"/>
            </w14:solidFill>
          </w14:textFill>
        </w:rPr>
        <w:t>以上合同未到期且未解除合同，依据上位法高于下位法的原则，应执行《中华人民共和国民法典（合同篇）》的规定，合同继续有效。审计处应组织对投资方最初的投资额出具审计报告，双方确认投资额度进而确定合作年限。</w:t>
      </w:r>
    </w:p>
    <w:p w14:paraId="6CFFF15E">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二十三、预算绩效评价是放在财务处吗？</w:t>
      </w:r>
      <w:r>
        <w:rPr>
          <w:rFonts w:ascii="黑体" w:hAnsi="黑体" w:eastAsia="黑体"/>
          <w:color w:val="000000" w:themeColor="text1"/>
          <w:sz w:val="32"/>
          <w:szCs w:val="32"/>
          <w14:textFill>
            <w14:solidFill>
              <w14:schemeClr w14:val="tx1"/>
            </w14:solidFill>
          </w14:textFill>
        </w:rPr>
        <w:t xml:space="preserve"> </w:t>
      </w:r>
    </w:p>
    <w:p w14:paraId="4D6A14D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答：资产管理、大型仪器共享、科技成果转化等工作的绩效评价在归口管理部门，预算绩效评价在财务处。</w:t>
      </w:r>
    </w:p>
    <w:p w14:paraId="6DFFA257">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二十四、怎样从制度上先建立起绩效评价审计，启动审计工作？</w:t>
      </w:r>
      <w:r>
        <w:rPr>
          <w:rFonts w:ascii="黑体" w:hAnsi="黑体" w:eastAsia="黑体"/>
          <w:color w:val="000000" w:themeColor="text1"/>
          <w:sz w:val="32"/>
          <w:szCs w:val="32"/>
          <w14:textFill>
            <w14:solidFill>
              <w14:schemeClr w14:val="tx1"/>
            </w14:solidFill>
          </w14:textFill>
        </w:rPr>
        <w:t xml:space="preserve"> </w:t>
      </w:r>
    </w:p>
    <w:p w14:paraId="685F6DC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答：绩效评价制度，可以参考上位法及相关院校的现有规定，结合单位具体情况，先制定</w:t>
      </w:r>
      <w:r>
        <w:rPr>
          <w:rFonts w:hint="eastAsia" w:ascii="仿宋_GB2312" w:eastAsia="仿宋_GB2312"/>
          <w:bCs/>
          <w:color w:val="000000" w:themeColor="text1"/>
          <w:sz w:val="32"/>
          <w:szCs w:val="32"/>
          <w14:textFill>
            <w14:solidFill>
              <w14:schemeClr w14:val="tx1"/>
            </w14:solidFill>
          </w14:textFill>
        </w:rPr>
        <w:t>试点方案</w:t>
      </w:r>
      <w:r>
        <w:rPr>
          <w:rFonts w:hint="eastAsia" w:ascii="仿宋_GB2312" w:eastAsia="仿宋_GB2312"/>
          <w:color w:val="000000" w:themeColor="text1"/>
          <w:sz w:val="32"/>
          <w:szCs w:val="32"/>
          <w14:textFill>
            <w14:solidFill>
              <w14:schemeClr w14:val="tx1"/>
            </w14:solidFill>
          </w14:textFill>
        </w:rPr>
        <w:t>；然后选择1-2个项目试评价，再形成规范性绩效评价制度。</w:t>
      </w:r>
    </w:p>
    <w:p w14:paraId="77898B1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对绩效评价的结果进行审计，需按照审计的程序依次制定计划、组织实施、出具报告、后续审计，是对绩效评价的全过程及其效果进行的全面监督。</w:t>
      </w:r>
    </w:p>
    <w:p w14:paraId="0F944751">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二十五、工程项目审计过程中关于变更问题审计的职责是什么？如何来判断？如工程有漏项，但指出后不改正，在后续通过工程变更的方式将漏项放了进去。</w:t>
      </w:r>
    </w:p>
    <w:p w14:paraId="5537155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答：关于变更问题审计的职责，仅供参考：</w:t>
      </w:r>
    </w:p>
    <w:p w14:paraId="4C47FCE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真实性审计。真实性审计是工程变更审计的基础，主要关注变更事项是否真实发生。（2）合法合规性审计。合法合规性审计主要审查工程变更是否符合国家法律法规、行业标准及合同规定。（3）必要性审计。必要性审计关注变更事项是否确实必要，即变更是否因工程实际情况需要而发生，而非出于其他不正当目的。（4）合理性审计。合理性审计主要审查变更后的方案是否合理，包括经济合理性、技术合理性和管理合理性等方面。经济合理性主要关注变更是否有利于降低工程造价、提高经济效益；技术合理性主要关注变更是否符合技术标准和规范要求；管理合理性则关注变更是否有利于工程管理的优化和提升。（5）计价准确性审计。计价准确性审计是工程变更审计的关键环节，主要审查变更事项的造价计量计价是否真实准确。</w:t>
      </w:r>
    </w:p>
    <w:p w14:paraId="76642127">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二十六、关于开展事业单位内部控制评价工作的通知，对内控评价工作的职责应如何划分？</w:t>
      </w:r>
    </w:p>
    <w:p w14:paraId="658AAFB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答：建议以财务部门为主，结合学校各部门职责分工和实施方案确定。</w:t>
      </w:r>
    </w:p>
    <w:p w14:paraId="7786AE98">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二十七、食堂超过10万的设备，高于</w:t>
      </w:r>
      <w:r>
        <w:rPr>
          <w:rFonts w:ascii="黑体" w:hAnsi="黑体" w:eastAsia="黑体"/>
          <w:color w:val="000000" w:themeColor="text1"/>
          <w:sz w:val="32"/>
          <w:szCs w:val="32"/>
          <w14:textFill>
            <w14:solidFill>
              <w14:schemeClr w14:val="tx1"/>
            </w14:solidFill>
          </w14:textFill>
        </w:rPr>
        <w:t>2</w:t>
      </w:r>
      <w:r>
        <w:rPr>
          <w:rFonts w:hint="eastAsia" w:ascii="黑体" w:hAnsi="黑体" w:eastAsia="黑体"/>
          <w:color w:val="000000" w:themeColor="text1"/>
          <w:sz w:val="32"/>
          <w:szCs w:val="32"/>
          <w14:textFill>
            <w14:solidFill>
              <w14:schemeClr w14:val="tx1"/>
            </w14:solidFill>
          </w14:textFill>
        </w:rPr>
        <w:t>万的维修，由食堂承担，应当怎样理解？</w:t>
      </w:r>
    </w:p>
    <w:p w14:paraId="34B2C2E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答：根据《山东省教育厅关于规范高等学校学生食堂管理的意见》（鲁教财发〔2023〕1号）规定，</w:t>
      </w:r>
      <w:r>
        <w:rPr>
          <w:rFonts w:hint="eastAsia" w:ascii="仿宋_GB2312" w:hAnsi="黑体" w:eastAsia="仿宋_GB2312"/>
          <w:color w:val="000000" w:themeColor="text1"/>
          <w:sz w:val="32"/>
          <w:szCs w:val="32"/>
          <w14:textFill>
            <w14:solidFill>
              <w14:schemeClr w14:val="tx1"/>
            </w14:solidFill>
          </w14:textFill>
        </w:rPr>
        <w:t>食堂超过</w:t>
      </w:r>
      <w:r>
        <w:rPr>
          <w:rFonts w:hint="eastAsia" w:ascii="黑体" w:hAnsi="黑体" w:eastAsia="黑体"/>
          <w:color w:val="000000" w:themeColor="text1"/>
          <w:sz w:val="32"/>
          <w:szCs w:val="32"/>
          <w14:textFill>
            <w14:solidFill>
              <w14:schemeClr w14:val="tx1"/>
            </w14:solidFill>
          </w14:textFill>
        </w:rPr>
        <w:t>10</w:t>
      </w:r>
      <w:r>
        <w:rPr>
          <w:rFonts w:hint="eastAsia" w:ascii="仿宋_GB2312" w:hAnsi="黑体" w:eastAsia="仿宋_GB2312"/>
          <w:color w:val="000000" w:themeColor="text1"/>
          <w:sz w:val="32"/>
          <w:szCs w:val="32"/>
          <w14:textFill>
            <w14:solidFill>
              <w14:schemeClr w14:val="tx1"/>
            </w14:solidFill>
          </w14:textFill>
        </w:rPr>
        <w:t>万的设备，高于</w:t>
      </w:r>
      <w:r>
        <w:rPr>
          <w:rFonts w:ascii="黑体" w:hAnsi="黑体" w:eastAsia="黑体"/>
          <w:color w:val="000000" w:themeColor="text1"/>
          <w:sz w:val="32"/>
          <w:szCs w:val="32"/>
          <w14:textFill>
            <w14:solidFill>
              <w14:schemeClr w14:val="tx1"/>
            </w14:solidFill>
          </w14:textFill>
        </w:rPr>
        <w:t>2</w:t>
      </w:r>
      <w:r>
        <w:rPr>
          <w:rFonts w:hint="eastAsia" w:ascii="仿宋_GB2312" w:hAnsi="黑体" w:eastAsia="仿宋_GB2312"/>
          <w:color w:val="000000" w:themeColor="text1"/>
          <w:sz w:val="32"/>
          <w:szCs w:val="32"/>
          <w14:textFill>
            <w14:solidFill>
              <w14:schemeClr w14:val="tx1"/>
            </w14:solidFill>
          </w14:textFill>
        </w:rPr>
        <w:t>万的维修改造经费，从学校经费户走账，限额以下由食堂入账</w:t>
      </w:r>
      <w:r>
        <w:rPr>
          <w:rFonts w:hint="eastAsia" w:ascii="仿宋_GB2312" w:eastAsia="仿宋_GB2312"/>
          <w:color w:val="000000" w:themeColor="text1"/>
          <w:sz w:val="32"/>
          <w:szCs w:val="32"/>
          <w14:textFill>
            <w14:solidFill>
              <w14:schemeClr w14:val="tx1"/>
            </w14:solidFill>
          </w14:textFill>
        </w:rPr>
        <w:t>。</w:t>
      </w:r>
    </w:p>
    <w:p w14:paraId="5368FD57">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二十八、按照《教育系统基建修缮工程项目审计实施办法》，零星维修的审计费没从基建经费支付是否合规？</w:t>
      </w:r>
    </w:p>
    <w:p w14:paraId="5FDBCB1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教育系统基建修缮工程项目审计实施办法》（１９９７年１２月３１日国家教育委员会教审〔１９９７〕２号公布）该文件是否仍在执行不是很了解。基建工程的审计服务费列到在建工程本项目管理费中是可以的，不超过计提比例即可。单独的修缮工程审计费用的是行政经费，基建工程经费中无法列支与项目无关的其他经费。</w:t>
      </w:r>
    </w:p>
    <w:p w14:paraId="71A9CEC6">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二十九、非招标项目是否有政策要求必须在两个网站上同时公布？</w:t>
      </w:r>
    </w:p>
    <w:p w14:paraId="331F5150">
      <w:pPr>
        <w:ind w:firstLine="640" w:firstLineChars="200"/>
        <w:rPr>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答：没有政策文件规定。</w:t>
      </w:r>
    </w:p>
    <w:p w14:paraId="6FD5312F">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三十、横向课题经费中的基建，属于审计处来审计吗？</w:t>
      </w:r>
    </w:p>
    <w:p w14:paraId="240464F2">
      <w:pPr>
        <w:ind w:firstLine="640" w:firstLineChars="200"/>
        <w:rPr>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答：只要纳入学校预算管理的，均按照学校规定进行审计。</w:t>
      </w:r>
    </w:p>
    <w:p w14:paraId="610CD0D1">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三十一、工程税率的问题</w:t>
      </w:r>
    </w:p>
    <w:p w14:paraId="5E224A9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答：如果工程建设完成后，属于一般纳税人的施工单位开具了3％的发票，需要核对一下招投标文件，3％说明实施了简易计税，需要核对一下它是否符合采用简易征收的条件。存在将本次建设中的主材</w:t>
      </w:r>
      <w:r>
        <w:rPr>
          <w:rFonts w:hint="eastAsia" w:ascii="仿宋_GB2312" w:eastAsia="仿宋_GB2312"/>
          <w:b/>
          <w:bCs/>
          <w:color w:val="000000" w:themeColor="text1"/>
          <w:sz w:val="32"/>
          <w:szCs w:val="32"/>
          <w14:textFill>
            <w14:solidFill>
              <w14:schemeClr w14:val="tx1"/>
            </w14:solidFill>
          </w14:textFill>
        </w:rPr>
        <w:t>用</w:t>
      </w:r>
      <w:r>
        <w:rPr>
          <w:rFonts w:hint="eastAsia" w:ascii="仿宋_GB2312" w:eastAsia="仿宋_GB2312"/>
          <w:color w:val="000000" w:themeColor="text1"/>
          <w:sz w:val="32"/>
          <w:szCs w:val="32"/>
          <w14:textFill>
            <w14:solidFill>
              <w14:schemeClr w14:val="tx1"/>
            </w14:solidFill>
          </w14:textFill>
        </w:rPr>
        <w:t>于其他项目中抵扣了增值税的嫌疑，最终以税务部门答复为准。</w:t>
      </w:r>
    </w:p>
    <w:p w14:paraId="5264C21E">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三十二、绩效评价、绩效审计的区别？</w:t>
      </w:r>
    </w:p>
    <w:p w14:paraId="4BA69B0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答：从高校角度分析，二者区别主要体现在以下几点：</w:t>
      </w:r>
    </w:p>
    <w:p w14:paraId="74A9EA3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1.任务分工不同。绩效评价是全校性的工作，由评价办公室或财务处牵头，各部门（单位）按职责分工完成各自的任务目标；绩效审计是审计人员按照审计计划安排的工作，由审计处组织实施。</w:t>
      </w:r>
    </w:p>
    <w:p w14:paraId="65661E7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工作目标不同。绩效评价是各部门（单位）依次完成的，包括项目组设定目标、业务部门核定目标、财务处或评价办审核目标等；绩效审计是审计小组成员针对被审计项目做出的职业判断，包括项目决策科学性、目标合理性、实施经济性及成效显著性等。</w:t>
      </w:r>
    </w:p>
    <w:p w14:paraId="1796175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3.时间要求不同。绩效评价有严格的时间要求，而且前后环节紧密相连，序时完成；绩效审计主要在事后完成，部分大型项目也可以在事前参与评估、事中参与监督。</w:t>
      </w:r>
    </w:p>
    <w:p w14:paraId="3CC83F0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重点内容不同。绩效评价目前已有较为成型的指标体系，通用指标可以相互参照，专业指标据项目情况而定；绩效审计虽然开展多年，审计方法也可以相互参照，但不同单位的情况有较大差异，重点内容的可参考性相对弱点。</w:t>
      </w:r>
    </w:p>
    <w:p w14:paraId="72C4C5A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5.要求不同。绩效评价是国家层面统一要求的，需要按规定上报相关资料；绩效审计是单位自行组织的，属于内部管理的范畴。</w:t>
      </w:r>
    </w:p>
    <w:p w14:paraId="078E4940">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三十三、绩效审计的结果对方不认可该如何处理？</w:t>
      </w:r>
    </w:p>
    <w:p w14:paraId="1FDC2DCF">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答：一是反复沟通，以政策、数据服人，找到合理可行的文件、数据支撑。二是发挥团队精神，加强与上级主管部门、业务专家、业务职能部门的协作，做出客观专业的评价，提出切实可行的审计建议。</w:t>
      </w:r>
    </w:p>
    <w:p w14:paraId="39D4CBF7">
      <w:pPr>
        <w:ind w:firstLine="640" w:firstLineChars="200"/>
        <w:rPr>
          <w:rFonts w:ascii="仿宋_GB2312" w:hAnsi="黑体" w:eastAsia="仿宋_GB2312"/>
          <w:color w:val="000000" w:themeColor="text1"/>
          <w:sz w:val="32"/>
          <w:szCs w:val="32"/>
          <w14:textFill>
            <w14:solidFill>
              <w14:schemeClr w14:val="tx1"/>
            </w14:solidFill>
          </w14:textFill>
        </w:rPr>
      </w:pPr>
    </w:p>
    <w:p w14:paraId="2D141BEE">
      <w:pPr>
        <w:ind w:firstLine="640" w:firstLineChars="200"/>
        <w:rPr>
          <w:rFonts w:ascii="仿宋_GB2312" w:hAnsi="黑体" w:eastAsia="仿宋_GB2312"/>
          <w:color w:val="000000" w:themeColor="text1"/>
          <w:sz w:val="32"/>
          <w:szCs w:val="32"/>
          <w14:textFill>
            <w14:solidFill>
              <w14:schemeClr w14:val="tx1"/>
            </w14:solidFill>
          </w14:textFill>
        </w:rPr>
      </w:pPr>
    </w:p>
    <w:p w14:paraId="6C39F4D0">
      <w:pPr>
        <w:ind w:firstLine="640" w:firstLineChars="200"/>
        <w:jc w:val="right"/>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025.10.20</w:t>
      </w:r>
    </w:p>
    <w:sectPr>
      <w:footerReference r:id="rId3" w:type="default"/>
      <w:pgSz w:w="11906" w:h="16838"/>
      <w:pgMar w:top="1701" w:right="1474" w:bottom="1134"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简">
    <w:altName w:val="Malgun Gothic Semilight"/>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975471"/>
    </w:sdtPr>
    <w:sdtContent>
      <w:p w14:paraId="6EDBAE60">
        <w:pPr>
          <w:pStyle w:val="2"/>
          <w:jc w:val="right"/>
        </w:pPr>
        <w:r>
          <w:fldChar w:fldCharType="begin"/>
        </w:r>
        <w:r>
          <w:instrText xml:space="preserve">PAGE   \* MERGEFORMAT</w:instrText>
        </w:r>
        <w:r>
          <w:fldChar w:fldCharType="separate"/>
        </w:r>
        <w:r>
          <w:rPr>
            <w:lang w:val="zh-CN"/>
          </w:rPr>
          <w:t>10</w:t>
        </w:r>
        <w:r>
          <w:fldChar w:fldCharType="end"/>
        </w:r>
      </w:p>
    </w:sdtContent>
  </w:sdt>
  <w:p w14:paraId="193800E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ODk1NTU0N2U0ZjhjMGYxMzJlNmQ3NGQ2ZTIzMTQifQ=="/>
  </w:docVars>
  <w:rsids>
    <w:rsidRoot w:val="BFD7D26B"/>
    <w:rsid w:val="00036329"/>
    <w:rsid w:val="001272FB"/>
    <w:rsid w:val="001F1472"/>
    <w:rsid w:val="002802FF"/>
    <w:rsid w:val="0029153B"/>
    <w:rsid w:val="002C4AA8"/>
    <w:rsid w:val="002D5F65"/>
    <w:rsid w:val="002F19FE"/>
    <w:rsid w:val="00380CE7"/>
    <w:rsid w:val="003819C3"/>
    <w:rsid w:val="003B3A11"/>
    <w:rsid w:val="004406BE"/>
    <w:rsid w:val="00441FF3"/>
    <w:rsid w:val="00481D3E"/>
    <w:rsid w:val="005338EC"/>
    <w:rsid w:val="00553CF5"/>
    <w:rsid w:val="005814C7"/>
    <w:rsid w:val="005B218C"/>
    <w:rsid w:val="005B3B26"/>
    <w:rsid w:val="005C61DB"/>
    <w:rsid w:val="00623E9A"/>
    <w:rsid w:val="006316DE"/>
    <w:rsid w:val="00635744"/>
    <w:rsid w:val="006734E6"/>
    <w:rsid w:val="006D1779"/>
    <w:rsid w:val="006F34EC"/>
    <w:rsid w:val="00700569"/>
    <w:rsid w:val="007E778A"/>
    <w:rsid w:val="00811A0F"/>
    <w:rsid w:val="00816AA9"/>
    <w:rsid w:val="00863340"/>
    <w:rsid w:val="008A7322"/>
    <w:rsid w:val="008B7B07"/>
    <w:rsid w:val="008D60B1"/>
    <w:rsid w:val="008D7F50"/>
    <w:rsid w:val="00912499"/>
    <w:rsid w:val="009D485F"/>
    <w:rsid w:val="00A45096"/>
    <w:rsid w:val="00AB6E5B"/>
    <w:rsid w:val="00AE519B"/>
    <w:rsid w:val="00B66B01"/>
    <w:rsid w:val="00C5383D"/>
    <w:rsid w:val="00C54A13"/>
    <w:rsid w:val="00C710DA"/>
    <w:rsid w:val="00C94644"/>
    <w:rsid w:val="00CE2C04"/>
    <w:rsid w:val="00D05A28"/>
    <w:rsid w:val="00D27F9B"/>
    <w:rsid w:val="00D764C9"/>
    <w:rsid w:val="00EC3420"/>
    <w:rsid w:val="00ED3A1E"/>
    <w:rsid w:val="00EE1E32"/>
    <w:rsid w:val="00F55E4D"/>
    <w:rsid w:val="00F61C73"/>
    <w:rsid w:val="05442185"/>
    <w:rsid w:val="0D827D26"/>
    <w:rsid w:val="188C7B9D"/>
    <w:rsid w:val="1F8B39E6"/>
    <w:rsid w:val="227E248B"/>
    <w:rsid w:val="276F35C8"/>
    <w:rsid w:val="2B4E6393"/>
    <w:rsid w:val="2F2F5E46"/>
    <w:rsid w:val="30EC4114"/>
    <w:rsid w:val="3EFC8525"/>
    <w:rsid w:val="499428F4"/>
    <w:rsid w:val="4DD33207"/>
    <w:rsid w:val="57C32669"/>
    <w:rsid w:val="59435608"/>
    <w:rsid w:val="599778EE"/>
    <w:rsid w:val="63470553"/>
    <w:rsid w:val="756D31D7"/>
    <w:rsid w:val="7AFEA6F3"/>
    <w:rsid w:val="7CB650FC"/>
    <w:rsid w:val="7FBD9F8F"/>
    <w:rsid w:val="976D0E55"/>
    <w:rsid w:val="BBFFB523"/>
    <w:rsid w:val="BFD7D26B"/>
    <w:rsid w:val="BFFEF060"/>
    <w:rsid w:val="D7D5BBC6"/>
    <w:rsid w:val="DE59CB1A"/>
    <w:rsid w:val="EBFF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脚 字符"/>
    <w:basedOn w:val="6"/>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A28D-263E-4F53-9DCB-5E8F107AFDD7}">
  <ds:schemaRefs/>
</ds:datastoreItem>
</file>

<file path=docProps/app.xml><?xml version="1.0" encoding="utf-8"?>
<Properties xmlns="http://schemas.openxmlformats.org/officeDocument/2006/extended-properties" xmlns:vt="http://schemas.openxmlformats.org/officeDocument/2006/docPropsVTypes">
  <Template>Normal</Template>
  <Pages>14</Pages>
  <Words>6901</Words>
  <Characters>7001</Characters>
  <Lines>50</Lines>
  <Paragraphs>14</Paragraphs>
  <TotalTime>14</TotalTime>
  <ScaleCrop>false</ScaleCrop>
  <LinksUpToDate>false</LinksUpToDate>
  <CharactersWithSpaces>7033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2025-08-07T23:16:00Z</dcterms:created>
  <dc:creator>huawei</dc:creator>
  <cp:lastModifiedBy>邹培明</cp:lastModifiedBy>
  <dcterms:modified xsi:type="dcterms:W3CDTF">2025-11-18T01:18:13Z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76B557A347FBFC254B019368A415ACD2_41</vt:lpwstr>
  </property>
  <property fmtid="{D5CDD505-2E9C-101B-9397-08002B2CF9AE}" pid="4" name="KSOTemplateDocerSaveRecord">
    <vt:lpwstr>eyJoZGlkIjoiY2U3NGIwNTg5NTZjODJiYzk5ZTFlMTJhYzdkZjg2YWEiLCJ1c2VySWQiOiI0Mzg2NDMzNzMifQ==</vt:lpwstr>
  </property>
</Properties>
</file>